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  <w:t>市直机关工委党员干部活动项目项目支出绩效评价报告</w:t>
      </w:r>
    </w:p>
    <w:p>
      <w:pPr>
        <w:snapToGrid w:val="0"/>
        <w:spacing w:beforeLines="0" w:afterLines="0"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2019年，市直机关工委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深入学习贯彻习近平新时代中国特色社会主义思想和党的十九大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、十九届历次全会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扎实开展“不忘初心、牢记使命”主题教育，以机关“五星示范、双优引领”创建为抓手，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按计划扎实组织开展各类党员干部宣传教育活动，进一步激发了机关党员干部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创先争优，勇于担当的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干事创业热情，为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高素质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党员干部队伍，夯实机关基层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党建工作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提供了坚强保障。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2019年党员干部活动项目预算47.02万元，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党员干部活动项目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47.02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预算执行率为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委托业务费31.03万元、劳务费1.8万元、维修（护）费9万元、其它杂费5.19万元。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圆满完成了年度岗位目标责任确定的各项任务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（二）项目绩效总目标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加强预算支出管理，合理分配资金，调整公共支出结构，优化公共资源配置，提高财政资金使用绩效，保证党员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工作顺利进行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并取得实效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按照年初工作要点，加强政治思想工作，着力提升机关党员政治鉴别力；创新作风建设载体，着力提升围绕中心服务保障力；抓实固本强基工程，着力提升机关基层组织战斗力；推进机关人文关怀，着力提升机关党群组织凝聚力；优化管理指导服务，着力提升机关党建工作创新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通过开展党员教育活动，提升机关党员干部党性修养，提振干事创业精气神，为绍兴念好“两业经”、唱好“双城计”、打造“活力城”凝聚力量。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绩效评价工作开展情况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绩效评价目的、对象和范围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严格执行《预算法》，强化支出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kern w:val="2"/>
          <w:sz w:val="32"/>
          <w:szCs w:val="32"/>
        </w:rPr>
        <w:t>，提高项目资金使用效益。对部门重点评价项目支出情况开展绩效评价，做到绩效评价全覆盖。2019年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党员干部活动经费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项目资金使用方向主要为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kern w:val="2"/>
          <w:sz w:val="32"/>
          <w:szCs w:val="32"/>
        </w:rPr>
        <w:t>个方面：一是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各类活动的委托业务费</w:t>
      </w:r>
      <w:r>
        <w:rPr>
          <w:rFonts w:hint="eastAsia" w:ascii="仿宋" w:hAnsi="仿宋" w:eastAsia="仿宋" w:cs="仿宋"/>
          <w:kern w:val="2"/>
          <w:sz w:val="32"/>
          <w:szCs w:val="32"/>
        </w:rPr>
        <w:t>，二是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各类活动的劳务费</w:t>
      </w:r>
      <w:r>
        <w:rPr>
          <w:rFonts w:hint="eastAsia" w:ascii="仿宋" w:hAnsi="仿宋" w:eastAsia="仿宋" w:cs="仿宋"/>
          <w:kern w:val="2"/>
          <w:sz w:val="32"/>
          <w:szCs w:val="32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三是维修（护）费，四</w:t>
      </w:r>
      <w:r>
        <w:rPr>
          <w:rFonts w:hint="eastAsia" w:ascii="仿宋" w:hAnsi="仿宋" w:eastAsia="仿宋" w:cs="仿宋"/>
          <w:kern w:val="2"/>
          <w:sz w:val="32"/>
          <w:szCs w:val="32"/>
        </w:rPr>
        <w:t>是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各类活动的</w:t>
      </w:r>
      <w:r>
        <w:rPr>
          <w:rFonts w:hint="eastAsia" w:ascii="仿宋" w:hAnsi="仿宋" w:eastAsia="仿宋" w:cs="仿宋"/>
          <w:kern w:val="2"/>
          <w:sz w:val="32"/>
          <w:szCs w:val="32"/>
        </w:rPr>
        <w:t>其他杂费。</w:t>
      </w:r>
    </w:p>
    <w:p>
      <w:pPr>
        <w:pStyle w:val="5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01" w:firstLine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绩效评价原则、评价指标体系、评价方法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本着客观公正和有效性原则，按照设定的指标体系，单位中层以上干部参与评价，并从各处室抽选人员进行打分，由项目负责人进行梳理并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汇总，形成绩效评价报告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（三）绩效评价工作过程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1.前期准备。成立部门绩效评价小组，学习评价指标体系和绩效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评价相关工作要求，明确任务分工。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2.组织实施。按照规定的工作程序组织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kern w:val="2"/>
          <w:sz w:val="32"/>
          <w:szCs w:val="32"/>
        </w:rPr>
        <w:t>绩效评价自评，注重评价质量，撰写绩效评价报告。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3.分析评价。对评价结果进行整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合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，充分运用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绩效</w:t>
      </w:r>
      <w:r>
        <w:rPr>
          <w:rFonts w:hint="eastAsia" w:ascii="仿宋" w:hAnsi="仿宋" w:eastAsia="仿宋" w:cs="仿宋"/>
          <w:kern w:val="2"/>
          <w:sz w:val="32"/>
          <w:szCs w:val="32"/>
        </w:rPr>
        <w:t>评价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成果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三、综合评价情况及评价结论（附相关评分表）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（一）项目安排依据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是否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充分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项目安排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依据</w:t>
      </w:r>
      <w:r>
        <w:rPr>
          <w:rFonts w:hint="eastAsia" w:ascii="仿宋" w:hAnsi="仿宋" w:eastAsia="仿宋" w:cs="仿宋"/>
          <w:kern w:val="2"/>
          <w:sz w:val="32"/>
          <w:szCs w:val="32"/>
        </w:rPr>
        <w:t>中共绍兴市委印发《关于贯彻〈中国共产党党和国家机关基层组织工作条例〉的实施办法》的通知（绍市委发[2013]7号）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等文件精神，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并结合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工委年度</w:t>
      </w:r>
      <w:r>
        <w:rPr>
          <w:rFonts w:hint="eastAsia" w:ascii="仿宋" w:hAnsi="仿宋" w:eastAsia="仿宋" w:cs="仿宋"/>
          <w:kern w:val="2"/>
          <w:sz w:val="32"/>
          <w:szCs w:val="32"/>
        </w:rPr>
        <w:t>工作计划，项目安排依据基本充分。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（二）绩效目标设置是否完整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绩效目标设置完整，从产出指标和效益指标反映项目，通过对活动规模、活动质量、工作进度、党员干部职工满意度等绩效指标，合理设置目标值，使绩效指标予以细化、量化描述，全面完整地考评该项目，反映预算资金的预期产出和效果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（三）事权与财权是否具备匹配性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根据市财政体制确定的财政事权和支出责任厘清预算关系，厘清财政事权，提高资金使用经济性。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（四）财政资金安排是否具有整体效应性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财政资金安排具有整体效应性，项目资金使用不存在违规情况。为了切实做好项目管理工作，我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kern w:val="2"/>
          <w:sz w:val="32"/>
          <w:szCs w:val="32"/>
        </w:rPr>
        <w:t>针对该项目明确了工作职责，落实了工作责任人，切实保障项目顺利实施。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党员干部活动经费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项目经费支出主要用于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为机关党员干部安排各类教育活动</w:t>
      </w:r>
      <w:r>
        <w:rPr>
          <w:rFonts w:hint="eastAsia" w:ascii="仿宋" w:hAnsi="仿宋" w:eastAsia="仿宋" w:cs="仿宋"/>
          <w:kern w:val="2"/>
          <w:sz w:val="32"/>
          <w:szCs w:val="32"/>
        </w:rPr>
        <w:t>，项目实施过程中严格执行有关财务管理制度，会计核算做到真实、完整、及时，资金支出审批程序严谨。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根据设定的绩效评价指标的评价标准，经评定该项目绩效评价综合得分为9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</w:rPr>
        <w:t>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四、绩效评价指标分析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（一）项目经济性情况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项目成本（预算）控制情况。严格控制党员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干部活动</w:t>
      </w:r>
      <w:r>
        <w:rPr>
          <w:rFonts w:hint="eastAsia" w:ascii="仿宋" w:hAnsi="仿宋" w:eastAsia="仿宋" w:cs="仿宋"/>
          <w:kern w:val="2"/>
          <w:sz w:val="32"/>
          <w:szCs w:val="32"/>
        </w:rPr>
        <w:t>经费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开支</w:t>
      </w:r>
      <w:r>
        <w:rPr>
          <w:rFonts w:hint="eastAsia" w:ascii="仿宋" w:hAnsi="仿宋" w:eastAsia="仿宋" w:cs="仿宋"/>
          <w:kern w:val="2"/>
          <w:sz w:val="32"/>
          <w:szCs w:val="32"/>
        </w:rPr>
        <w:t>，按预算进行项目支出安排，成本控制较为科学合理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委托业务费、劳务费等开支严格执行财务管理有关规定，并认真落实招投标、询价等要求，确保经费开支公允，实现了较好的经济性。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（二）项目的效率性情况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市直机关党员干部教育活动需求和工委年度工作安排，有序组织开展党员干部教育活动。学习教育活动覆盖面广，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切实提高了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市直机关</w:t>
      </w:r>
      <w:r>
        <w:rPr>
          <w:rFonts w:hint="eastAsia" w:ascii="仿宋" w:hAnsi="仿宋" w:eastAsia="仿宋" w:cs="仿宋"/>
          <w:kern w:val="2"/>
          <w:sz w:val="32"/>
          <w:szCs w:val="32"/>
        </w:rPr>
        <w:t>党员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干部</w:t>
      </w:r>
      <w:r>
        <w:rPr>
          <w:rFonts w:hint="eastAsia" w:ascii="仿宋" w:hAnsi="仿宋" w:eastAsia="仿宋" w:cs="仿宋"/>
          <w:kern w:val="2"/>
          <w:sz w:val="32"/>
          <w:szCs w:val="32"/>
        </w:rPr>
        <w:t>的思想觉悟、党性意识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，带动提升市直</w:t>
      </w:r>
      <w:r>
        <w:rPr>
          <w:rFonts w:hint="eastAsia" w:ascii="仿宋" w:hAnsi="仿宋" w:eastAsia="仿宋" w:cs="仿宋"/>
          <w:kern w:val="2"/>
          <w:sz w:val="32"/>
          <w:szCs w:val="32"/>
        </w:rPr>
        <w:t>党建工作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质量</w:t>
      </w:r>
      <w:r>
        <w:rPr>
          <w:rFonts w:hint="eastAsia" w:ascii="仿宋" w:hAnsi="仿宋" w:eastAsia="仿宋" w:cs="仿宋"/>
          <w:kern w:val="2"/>
          <w:sz w:val="32"/>
          <w:szCs w:val="32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较好地发挥了项目的使用效率</w:t>
      </w:r>
      <w:r>
        <w:rPr>
          <w:rFonts w:hint="eastAsia" w:ascii="仿宋" w:hAnsi="仿宋" w:eastAsia="仿宋" w:cs="仿宋"/>
          <w:kern w:val="2"/>
          <w:sz w:val="32"/>
          <w:szCs w:val="32"/>
        </w:rPr>
        <w:t>。项目经费年初预定目标明确，目标设置客观、合理，实际执行基本达到年初预定目标，在项目实施过程中能认真执行有关的管理制度，较好地完成了既定计划；会计资料完整，会计核算符合国家有关会计制度的规定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01" w:left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（三）项目有效性情况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1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项目任务目标完成情况方面，举办4期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“夜学讲坛”活动，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活动形式新颖、多样，内容丰富，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增强理论学习的吸引力和感染力；定期开展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微信推送服务，登报宣传市直机关“十佳”党务干部风采，选树先进典型，营造了浓厚的创先争优氛围；升级改造市直机关“智慧党建”系统，为市直机关党组织提供便捷服务，提升党务工作效率；开展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机关党建课题研究，组织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“弘扬胆剑精神，勇于担当作为”征文活动等，为机关党建工作提供理论支撑。项目实施满意度方面，党员干部满意情况达95%以上。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1" w:leftChars="0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（四）项目公平性情况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项目实施对象选择和分配结果方面，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“夜学讲坛”活动、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微信推送服务、党建课题研究成果等教育活动均面向全体市直机关党员干部，受益对象应享尽享。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1" w:leftChars="0"/>
        <w:textAlignment w:val="auto"/>
        <w:outlineLvl w:val="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（五）项目可持续性情况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党员干部活动项目具有可持续性，通过长期开展各类学习教育活动，能够显著提升市直机关党员干部的党性修养和能力素质。总结提炼党员干部活动中的特色做法，具有在全市乃至全省范围内的示范性和可推广价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在成本控制方面，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要切实落实询价、招投标等制度规定，</w:t>
      </w:r>
      <w:r>
        <w:rPr>
          <w:rFonts w:hint="eastAsia" w:ascii="仿宋" w:hAnsi="仿宋" w:eastAsia="仿宋" w:cs="仿宋"/>
          <w:sz w:val="32"/>
          <w:szCs w:val="32"/>
        </w:rPr>
        <w:t>严格控制项目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经费开支。在活动安排方面，以市直机关党员干部实际需求为导向，丰富活动形式和内容，提升教育活动效果。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公平性</w:t>
      </w:r>
      <w:r>
        <w:rPr>
          <w:rFonts w:hint="eastAsia" w:ascii="仿宋" w:hAnsi="仿宋" w:eastAsia="仿宋" w:cs="仿宋"/>
          <w:sz w:val="32"/>
          <w:szCs w:val="32"/>
        </w:rPr>
        <w:t>方面，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在“夜学讲坛”等教育活动中，充分发挥网络直播等新媒体作用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，增强教育活动的覆盖面。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六、有关建议</w:t>
      </w:r>
    </w:p>
    <w:p>
      <w:pPr>
        <w:spacing w:line="60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七、其他需要说明的问题</w:t>
      </w:r>
    </w:p>
    <w:p>
      <w:pPr>
        <w:spacing w:line="60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spacing w:before="0" w:after="0"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附件：</w:t>
      </w:r>
    </w:p>
    <w:p>
      <w:pPr>
        <w:pStyle w:val="2"/>
        <w:spacing w:before="0" w:after="0" w:line="240" w:lineRule="auto"/>
        <w:jc w:val="center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cs="黑体"/>
          <w:bCs/>
          <w:color w:val="000000"/>
          <w:sz w:val="36"/>
          <w:szCs w:val="28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6"/>
          <w:szCs w:val="28"/>
          <w:highlight w:val="none"/>
        </w:rPr>
        <w:t>项目支出绩效评价指标体系</w:t>
      </w:r>
    </w:p>
    <w:tbl>
      <w:tblPr>
        <w:tblStyle w:val="6"/>
        <w:tblW w:w="8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516"/>
        <w:gridCol w:w="1384"/>
        <w:gridCol w:w="3850"/>
        <w:gridCol w:w="722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指标解释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政府资源总投入情况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资金投入节约情况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项目实现的效益为财政资金在相关领域的投入节约情况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6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平均成本投入情况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委托业务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费、劳务费等成本控制。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项目开支相关费用低于省内其他地市相应开支的平均成本。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效率性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业务管理效率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任务目标设定科学性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项目执行任务数的设定与分解是否科学合理。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管理有效性       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项目执行过程是否定期进行监督检查；向市财政局等部门报送相关数据是否完整、准确、及时；对上年度绩效监控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评价中发现的问题是否整改到位；是否符合相关业务管理制度的其他要求。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保障措施完备性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有明确工作制度，能细化工作任务，分解工作职责，能建设立起配套的相关管理机制；针对活动的整体策划、时间和场地安排、组织方式、宣传工作等有相应保障机制或应急预案。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资金管理效率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预算执行率          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预算执行率=预算支出数/预算安排数*100%。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支出合规性           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项目支出是否有完整的审批程序；项目实际支出与项目内容是否完全符合；支出凭据是否合法合规。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有效性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任务目标完成情况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组织学习活动次数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组织“夜学讲坛”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期，“身边的榜样宣讲会”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场，主题征文活动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次，参与人数近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2000人次。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推广情况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“绍兴机关党建”微信公众号关注度达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7万人次，评选表彰“‘十佳’党务干部风采”在《绍兴日报》刊登。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发放宣传（活动）资料数量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发放《市直机关党建工作综述画册》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500册。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项目实施质量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活动形式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活动形式新颖、多样，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有较强的吸引力、有效性。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教育活动内容以党性教育、忠诚教育等内容为主，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既有一定的稳定性，又有一定的创新性。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项目实现效益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机关党员干部党性修养提升情况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教育活动效果好，有效提升市直机关党员干部的党性修养和能力素质。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机关党建服务中心大局作用发挥情况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发挥机关党组织的战斗堡垒作用和机关党员的先锋模范作用，推动中心工作得到落实。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项目实施满意度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机关党员干部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对象满意度情况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调查中参与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教育活动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对象的满意度情况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达95%以上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公平性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资源分配公平性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项目实施对象选择和分配结果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项目实施过程中，资源分配是否合理、公平。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实施效果公平性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项目受益人群范围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项目实施完成后，受益对象是否应享尽享。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可持续性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资源投入的可持续性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项目保障资源可持续性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机构、人员、技术、资金等资源能否可持续投入，来巩固并提升项目实施工作成果。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项目影响的可持续性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项目可持续发挥作用的年限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项目实施成果是否具有长期适用性。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  <w:t>注：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绩效评价结果采取评分和评级相结合的方式，总分一般设置为100分，等级一般划分为四档：90（含）-100分为优、80（含）-90分为良、60（含）-80分为中、60分以下为差。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653A"/>
    <w:multiLevelType w:val="singleLevel"/>
    <w:tmpl w:val="362D65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600718"/>
    <w:multiLevelType w:val="singleLevel"/>
    <w:tmpl w:val="526007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02894A"/>
    <w:multiLevelType w:val="singleLevel"/>
    <w:tmpl w:val="5F02894A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F028F26"/>
    <w:multiLevelType w:val="singleLevel"/>
    <w:tmpl w:val="5F028F2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346C"/>
    <w:rsid w:val="1F814DFF"/>
    <w:rsid w:val="211643C9"/>
    <w:rsid w:val="2793346C"/>
    <w:rsid w:val="67E450F1"/>
    <w:rsid w:val="68A20E00"/>
    <w:rsid w:val="7B7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01"/>
    <w:basedOn w:val="7"/>
    <w:qFormat/>
    <w:uiPriority w:val="0"/>
    <w:rPr>
      <w:rFonts w:ascii="Verdana" w:hAnsi="Verdana" w:cs="Verdana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2020-07-06T02:07:00Z</dcterms:created>
  <dc:creator>Administrator</dc:creator>
  <cp:lastModifiedBy>he</cp:lastModifiedBy>
  <cp:lastPrinted>2020-07-06T10:56:26Z</cp:lastPrinted>
  <dcterms:modified xsi:type="dcterms:W3CDTF">2020-07-06T11:06:37Z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